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ゴシック" w:hAnsi="ＭＳ ゴシック" w:eastAsia="ＭＳ ゴシック"/>
        </w:rPr>
      </w:pPr>
      <w:r>
        <w:rPr>
          <w:rFonts w:hint="eastAsia" w:ascii="ＭＳ ゴシック" w:hAnsi="ＭＳ ゴシック" w:eastAsia="ＭＳ ゴシック"/>
        </w:rPr>
        <w:t>様式第７</w:t>
      </w:r>
    </w:p>
    <w:tbl>
      <w:tblPr>
        <w:tblStyle w:val="11"/>
        <w:tblW w:w="971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12"/>
      </w:tblGrid>
      <w:tr>
        <w:trPr/>
        <w:tc>
          <w:tcPr>
            <w:tcW w:w="97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中小企業信用保険法第２条第５項第７号の</w:t>
            </w:r>
          </w:p>
          <w:p>
            <w:pPr>
              <w:pStyle w:val="0"/>
              <w:suppressAutoHyphens w:val="1"/>
              <w:kinsoku w:val="0"/>
              <w:overflowPunct w:val="0"/>
              <w:autoSpaceDE w:val="0"/>
              <w:autoSpaceDN w:val="0"/>
              <w:adjustRightInd w:val="0"/>
              <w:spacing w:line="30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規定による認定申請書</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wordWrap w:val="0"/>
              <w:overflowPunct w:val="0"/>
              <w:autoSpaceDE w:val="0"/>
              <w:autoSpaceDN w:val="0"/>
              <w:adjustRightInd w:val="0"/>
              <w:spacing w:line="300" w:lineRule="exact"/>
              <w:ind w:right="310" w:rightChars="14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（あて先）滝川市長　殿</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wordWrap w:val="0"/>
              <w:overflowPunct w:val="0"/>
              <w:autoSpaceDE w:val="0"/>
              <w:autoSpaceDN w:val="0"/>
              <w:adjustRightInd w:val="0"/>
              <w:spacing w:line="300" w:lineRule="exact"/>
              <w:ind w:firstLine="4308" w:firstLineChars="203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spacing w:line="300" w:lineRule="exact"/>
              <w:ind w:right="310" w:rightChars="146" w:firstLine="4670" w:firstLineChars="220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300" w:lineRule="exact"/>
              <w:ind w:right="310" w:rightChars="146" w:firstLine="4664" w:firstLineChars="2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1"/>
              <w:wordWrap w:val="0"/>
              <w:overflowPunct w:val="0"/>
              <w:autoSpaceDE w:val="0"/>
              <w:autoSpaceDN w:val="0"/>
              <w:adjustRightInd w:val="0"/>
              <w:spacing w:before="0" w:beforeLines="0" w:beforeAutospacing="0" w:after="0" w:afterLines="0" w:afterAutospacing="0" w:line="300" w:lineRule="exact"/>
              <w:ind w:right="310" w:rightChars="14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注１）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bookmarkStart w:id="0" w:name="_GoBack"/>
            <w:bookmarkEnd w:id="0"/>
          </w:p>
          <w:p>
            <w:pPr>
              <w:pStyle w:val="0"/>
              <w:suppressAutoHyphens w:val="1"/>
              <w:kinsoku w:val="0"/>
              <w:overflowPunct w:val="0"/>
              <w:autoSpaceDE w:val="0"/>
              <w:autoSpaceDN w:val="0"/>
              <w:adjustRightInd w:val="0"/>
              <w:spacing w:line="300" w:lineRule="exact"/>
              <w:ind w:right="310" w:rightChars="146"/>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300" w:lineRule="exact"/>
              <w:ind w:left="7208" w:right="310" w:rightChars="146" w:hanging="7208" w:hangingChars="3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金融機関からの総借入金残高のうち、○○○○からの借入金残高の占める割合</w:t>
            </w:r>
          </w:p>
          <w:p>
            <w:pPr>
              <w:pStyle w:val="0"/>
              <w:suppressAutoHyphens w:val="1"/>
              <w:kinsoku w:val="0"/>
              <w:overflowPunct w:val="0"/>
              <w:autoSpaceDE w:val="0"/>
              <w:autoSpaceDN w:val="0"/>
              <w:adjustRightInd w:val="0"/>
              <w:spacing w:line="300" w:lineRule="exact"/>
              <w:ind w:left="7208" w:right="310" w:rightChars="146" w:hanging="7208" w:hangingChars="3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％（Ａ／Ｂ）</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　　年　月　日の○○○○からの借入金残高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年　月　日の金融機関からの総借入金残高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○○○○からの借入金残高の減少率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(D-C)/D</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Ｃ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日の○○○○からの借入金残高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日（Ｃの前年同期を記入のこと）の○○○○からの借入金残高</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spacing w:line="300" w:lineRule="exact"/>
              <w:ind w:right="310" w:rightChars="146" w:firstLine="6572" w:firstLineChars="3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金融機関からの総借入金残高の減少率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(F-E)/F</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　　年　月　日の金融機関からの総借入金残高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日（Ｅの前年同期を記入のこと）の金融機関からの総借入金残高</w:t>
            </w:r>
          </w:p>
          <w:p>
            <w:pPr>
              <w:pStyle w:val="0"/>
              <w:suppressAutoHyphens w:val="1"/>
              <w:kinsoku w:val="0"/>
              <w:overflowPunct w:val="0"/>
              <w:autoSpaceDE w:val="0"/>
              <w:autoSpaceDN w:val="0"/>
              <w:adjustRightInd w:val="0"/>
              <w:spacing w:line="300" w:lineRule="exact"/>
              <w:ind w:right="310" w:rightChars="14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滝産業第　　　　　　　号</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滝川市長　　　前　田　康　吉</w:t>
            </w:r>
          </w:p>
        </w:tc>
      </w:tr>
    </w:tbl>
    <w:p>
      <w:pPr>
        <w:pStyle w:val="0"/>
        <w:snapToGrid w:val="0"/>
        <w:rPr>
          <w:rFonts w:hint="eastAsia" w:ascii="ＭＳ ゴシック" w:hAnsi="ＭＳ ゴシック" w:eastAsia="ＭＳ ゴシック"/>
        </w:rPr>
      </w:pPr>
    </w:p>
    <w:p>
      <w:pPr>
        <w:pStyle w:val="0"/>
        <w:suppressAutoHyphens w:val="1"/>
        <w:wordWrap w:val="0"/>
        <w:spacing w:line="240" w:lineRule="exact"/>
        <w:ind w:left="0" w:hanging="945" w:hangingChars="4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（注１）　○○○○には、経済産業大臣が指定する金融取引の調整を行っている金融機関の名称を記入すること。</w:t>
      </w:r>
    </w:p>
    <w:p>
      <w:pPr>
        <w:pStyle w:val="0"/>
        <w:suppressAutoHyphens w:val="1"/>
        <w:wordWrap w:val="0"/>
        <w:spacing w:line="240" w:lineRule="exact"/>
        <w:ind w:left="0" w:hanging="945" w:hangingChars="4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　申請者の全ての金融機関からの総借入金残高及び○○○○からの借入金残高が確認可能な残高証明書、財務諸表、借入証書等を添付すること。</w:t>
      </w:r>
    </w:p>
    <w:p>
      <w:pPr>
        <w:pStyle w:val="0"/>
        <w:snapToGrid w:val="0"/>
        <w:rPr>
          <w:rFonts w:hint="eastAsia" w:ascii="ＭＳ ゴシック" w:hAnsi="ＭＳ ゴシック" w:eastAsia="ＭＳ ゴシック"/>
        </w:rPr>
      </w:pPr>
      <w:r>
        <w:rPr>
          <w:rFonts w:hint="eastAsia" w:ascii="ＭＳ ゴシック" w:hAnsi="ＭＳ ゴシック" w:eastAsia="ＭＳ ゴシック"/>
          <w:color w:val="000000"/>
          <w:kern w:val="0"/>
        </w:rPr>
        <w:t>（留意事項）</w:t>
      </w:r>
    </w:p>
    <w:p>
      <w:pPr>
        <w:pStyle w:val="0"/>
        <w:snapToGrid w:val="0"/>
        <w:rPr>
          <w:rFonts w:hint="eastAsia" w:ascii="ＭＳ ゴシック" w:hAnsi="ＭＳ ゴシック" w:eastAsia="ＭＳ ゴシック"/>
        </w:rPr>
      </w:pPr>
      <w:r>
        <w:rPr>
          <w:rFonts w:hint="eastAsia" w:ascii="ＭＳ ゴシック" w:hAnsi="ＭＳ ゴシック" w:eastAsia="ＭＳ ゴシック"/>
        </w:rPr>
        <w:t>　①　本認定とは別に、金融機関及び信用保証協会による金融上の審査があります。</w:t>
      </w:r>
    </w:p>
    <w:p>
      <w:pPr>
        <w:pStyle w:val="0"/>
        <w:snapToGrid w:val="0"/>
        <w:ind w:left="630" w:hanging="630" w:hangingChars="300"/>
        <w:rPr>
          <w:rFonts w:hint="eastAsia" w:ascii="ＭＳ ゴシック" w:hAnsi="ＭＳ ゴシック" w:eastAsia="ＭＳ ゴシック"/>
        </w:rPr>
      </w:pPr>
      <w:r>
        <w:rPr>
          <w:rFonts w:hint="eastAsia" w:ascii="ＭＳ ゴシック" w:hAnsi="ＭＳ ゴシック" w:eastAsia="ＭＳ ゴシック"/>
        </w:rPr>
        <w:t>　②　市町村長又は特別区長から認定を受けた日から３０日以内に金融機関又は信用保証協会に対して、保証の申込みを行うことが必要です。</w:t>
      </w:r>
    </w:p>
    <w:p>
      <w:pPr>
        <w:pStyle w:val="0"/>
        <w:snapToGrid w:val="0"/>
        <w:rPr>
          <w:rFonts w:hint="eastAsia" w:ascii="ＭＳ ゴシック" w:hAnsi="ＭＳ ゴシック" w:eastAsia="ＭＳ ゴシック"/>
        </w:rPr>
      </w:pPr>
    </w:p>
    <w:sectPr>
      <w:pgSz w:w="11906" w:h="16838"/>
      <w:pgMar w:top="1191" w:right="1168" w:bottom="1701" w:left="1168"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ゴシック" w:hAnsi="游ゴシック" w:eastAsia="游ゴシック"/>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pPr>
        <w:spacing w:before="0" w:beforeLines="0" w:beforeAutospacing="0" w:after="0" w:afterLines="0" w:afterAutospacing="0" w:line="240" w:lineRule="atLeast"/>
        <w:ind w:leftChars="0" w:rightChars="0" w:hanging="100" w:hangingChars="10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6</Words>
  <Characters>714</Characters>
  <Application>JUST Note</Application>
  <Lines>46</Lines>
  <Paragraphs>36</Paragraphs>
  <CharactersWithSpaces>1159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dcterms:created xsi:type="dcterms:W3CDTF">2026-06-30T01:11:00Z</dcterms:created>
  <dcterms:modified xsi:type="dcterms:W3CDTF">2026-06-30T01:11:00Z</dcterms:modified>
  <cp:revision>0</cp:revision>
</cp:coreProperties>
</file>